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C5926F" w14:textId="43DCCDFE" w:rsidR="00446A2D" w:rsidRDefault="772BF9E8" w:rsidP="00446A2D">
      <w:pPr>
        <w:jc w:val="center"/>
        <w:rPr>
          <w:b/>
          <w:bCs/>
          <w:sz w:val="32"/>
          <w:szCs w:val="32"/>
        </w:rPr>
      </w:pPr>
      <w:r w:rsidRPr="00446A2D">
        <w:rPr>
          <w:b/>
          <w:bCs/>
          <w:sz w:val="32"/>
          <w:szCs w:val="32"/>
        </w:rPr>
        <w:t>L’agroécologie : un mouvement social qui peine à être inclusif.</w:t>
      </w:r>
    </w:p>
    <w:p w14:paraId="33F28CBE" w14:textId="7A5FAF80" w:rsidR="00446A2D" w:rsidRPr="00446A2D" w:rsidRDefault="00446A2D" w:rsidP="00446A2D">
      <w:pPr>
        <w:jc w:val="both"/>
      </w:pPr>
      <w:r>
        <w:t xml:space="preserve">Une analyse de </w:t>
      </w:r>
      <w:r>
        <w:t>Pierre Collière, référent Agroécologie chez Eclosio.</w:t>
      </w:r>
    </w:p>
    <w:p w14:paraId="77E5EB64" w14:textId="046AE458" w:rsidR="005F4DC0" w:rsidRDefault="00446A2D">
      <w:r>
        <w:rPr>
          <w:noProof/>
        </w:rPr>
        <w:drawing>
          <wp:inline distT="0" distB="0" distL="0" distR="0" wp14:anchorId="13C6B38D" wp14:editId="75764E2E">
            <wp:extent cx="5760720" cy="3314700"/>
            <wp:effectExtent l="0" t="0" r="0" b="0"/>
            <wp:docPr id="2063534563" name="Image 1" descr="Une image contenant habits, personne, chaussures, sol&#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534563" name="Image 1" descr="Une image contenant habits, personne, chaussures, sol&#10;&#10;Description générée automatiquement"/>
                    <pic:cNvPicPr>
                      <a:picLocks noChangeAspect="1" noChangeArrowheads="1"/>
                    </pic:cNvPicPr>
                  </pic:nvPicPr>
                  <pic:blipFill rotWithShape="1">
                    <a:blip r:embed="rId11">
                      <a:extLst>
                        <a:ext uri="{28A0092B-C50C-407E-A947-70E740481C1C}">
                          <a14:useLocalDpi xmlns:a14="http://schemas.microsoft.com/office/drawing/2010/main" val="0"/>
                        </a:ext>
                      </a:extLst>
                    </a:blip>
                    <a:srcRect b="23326"/>
                    <a:stretch/>
                  </pic:blipFill>
                  <pic:spPr bwMode="auto">
                    <a:xfrm>
                      <a:off x="0" y="0"/>
                      <a:ext cx="5760720" cy="3314700"/>
                    </a:xfrm>
                    <a:prstGeom prst="rect">
                      <a:avLst/>
                    </a:prstGeom>
                    <a:noFill/>
                    <a:ln>
                      <a:noFill/>
                    </a:ln>
                    <a:extLst>
                      <a:ext uri="{53640926-AAD7-44D8-BBD7-CCE9431645EC}">
                        <a14:shadowObscured xmlns:a14="http://schemas.microsoft.com/office/drawing/2010/main"/>
                      </a:ext>
                    </a:extLst>
                  </pic:spPr>
                </pic:pic>
              </a:graphicData>
            </a:graphic>
          </wp:inline>
        </w:drawing>
      </w:r>
    </w:p>
    <w:p w14:paraId="2E270E9A" w14:textId="2B67F673" w:rsidR="00446A2D" w:rsidRPr="00446A2D" w:rsidRDefault="00446A2D" w:rsidP="00446A2D">
      <w:pPr>
        <w:jc w:val="center"/>
        <w:rPr>
          <w:i/>
          <w:iCs/>
          <w:sz w:val="20"/>
          <w:szCs w:val="20"/>
        </w:rPr>
      </w:pPr>
      <w:r w:rsidRPr="00446A2D">
        <w:rPr>
          <w:i/>
          <w:iCs/>
          <w:sz w:val="20"/>
          <w:szCs w:val="20"/>
        </w:rPr>
        <w:t>Diagnostic villageois au moyen d’une maquette interactive lors du projet GIRACC au Bénin. La participation de toute la communauté dès l’étape initiale des projets est primordiale pour un bon partage des bénéfices du projet. Même si seul un nombre réduit de paysans pilotes prendra le risque de tester de nouvelles pratiques, l’apprentissage qui en ressortira pourra bénéficier à l’ensemble de la communauté.</w:t>
      </w:r>
    </w:p>
    <w:p w14:paraId="70935DF9" w14:textId="77777777" w:rsidR="00446A2D" w:rsidRDefault="00446A2D"/>
    <w:p w14:paraId="05B5E536" w14:textId="77777777" w:rsidR="00446A2D" w:rsidRDefault="00446A2D"/>
    <w:p w14:paraId="1D415AC1" w14:textId="70C7DD33" w:rsidR="005F4DC0" w:rsidRDefault="007918EA" w:rsidP="0010305C">
      <w:pPr>
        <w:jc w:val="both"/>
      </w:pPr>
      <w:r>
        <w:t>Encore peu connue du grand public il n’y a pas si longtemps, l’agroécologie s’impose désormais de plus en plus dans le débat public</w:t>
      </w:r>
      <w:r w:rsidR="00C84C3B">
        <w:t xml:space="preserve"> sur les défis environnementaux et sociétaux d’aujourd’hui</w:t>
      </w:r>
      <w:r>
        <w:t>.</w:t>
      </w:r>
      <w:r w:rsidR="00C84C3B">
        <w:t xml:space="preserve"> Bien plus qu’un ensemble de pratiques d’agriculture durable, l’agroécologie représente aussi un mouvement social qui défend des valeurs pour le futur de notre planète. Ces valeurs sont définies de </w:t>
      </w:r>
      <w:r w:rsidR="00E931E5">
        <w:t>manière de plus en plus consensuelle</w:t>
      </w:r>
      <w:r w:rsidR="00C84C3B">
        <w:t xml:space="preserve"> par un ensemble de</w:t>
      </w:r>
      <w:r w:rsidR="005F4DC0">
        <w:t xml:space="preserve"> 13 principes</w:t>
      </w:r>
      <w:r w:rsidR="00C84C3B">
        <w:t xml:space="preserve"> fondamentaux</w:t>
      </w:r>
      <w:r w:rsidR="00E92EBB">
        <w:rPr>
          <w:rStyle w:val="Appelnotedebasdep"/>
        </w:rPr>
        <w:footnoteReference w:id="1"/>
      </w:r>
      <w:r w:rsidR="00C84C3B">
        <w:t>.</w:t>
      </w:r>
      <w:r w:rsidR="005F4DC0">
        <w:t xml:space="preserve"> </w:t>
      </w:r>
      <w:r w:rsidR="00E931E5">
        <w:t xml:space="preserve">Il s’agit d’améliorer </w:t>
      </w:r>
      <w:r w:rsidR="005932FC">
        <w:t>l</w:t>
      </w:r>
      <w:r w:rsidR="00E931E5">
        <w:t>’efficacité d’utilisation des ressources</w:t>
      </w:r>
      <w:r w:rsidR="00821361">
        <w:t xml:space="preserve"> (principes 1 &amp; 2)</w:t>
      </w:r>
      <w:r w:rsidR="00E931E5">
        <w:t xml:space="preserve">, </w:t>
      </w:r>
      <w:r w:rsidR="47E3137C">
        <w:t xml:space="preserve">de </w:t>
      </w:r>
      <w:r w:rsidR="00E931E5">
        <w:t xml:space="preserve">renforcer la résilience </w:t>
      </w:r>
      <w:r w:rsidR="00821361">
        <w:t xml:space="preserve">(principes 3 à 7) </w:t>
      </w:r>
      <w:r w:rsidR="00E931E5">
        <w:t xml:space="preserve">et </w:t>
      </w:r>
      <w:r w:rsidR="60F69920">
        <w:t>d’</w:t>
      </w:r>
      <w:r w:rsidR="00E931E5">
        <w:t>assurer l’équité et la responsabilité sociale</w:t>
      </w:r>
      <w:r w:rsidR="00821361">
        <w:t xml:space="preserve"> (principes 8 à 13)</w:t>
      </w:r>
      <w:r w:rsidR="00E931E5">
        <w:t xml:space="preserve">. </w:t>
      </w:r>
    </w:p>
    <w:p w14:paraId="7A7770F0" w14:textId="3FB18489" w:rsidR="0010305C" w:rsidRDefault="005F4DC0" w:rsidP="0010305C">
      <w:pPr>
        <w:jc w:val="both"/>
      </w:pPr>
      <w:r>
        <w:t xml:space="preserve">Mais la mise en pratique de ces 13 principes n’est pas sans défis et parfois l’atteinte de ces différents principes de façon simultanée </w:t>
      </w:r>
      <w:r w:rsidR="0010305C">
        <w:t xml:space="preserve">devient un véritable casse-tête pour </w:t>
      </w:r>
      <w:proofErr w:type="gramStart"/>
      <w:r w:rsidR="0010305C">
        <w:t>les acteur</w:t>
      </w:r>
      <w:proofErr w:type="gramEnd"/>
      <w:r w:rsidR="0E68C142">
        <w:t>·trice</w:t>
      </w:r>
      <w:r w:rsidR="0010305C">
        <w:t>s de terrain qui tentent de mettre en pratique cette approche multidimensionnelle</w:t>
      </w:r>
      <w:r w:rsidR="003406C1">
        <w:t>.</w:t>
      </w:r>
      <w:r>
        <w:t xml:space="preserve"> </w:t>
      </w:r>
      <w:r w:rsidR="0010305C">
        <w:t xml:space="preserve">L’agroécologie serait-elle alors trop théorique ? Comment peut-on prendre en compte en même temps </w:t>
      </w:r>
      <w:r w:rsidR="00E62D46">
        <w:t>la question de</w:t>
      </w:r>
      <w:r w:rsidR="0010305C">
        <w:t xml:space="preserve"> la protection de </w:t>
      </w:r>
      <w:r w:rsidR="0010305C">
        <w:lastRenderedPageBreak/>
        <w:t xml:space="preserve">l’environnement et </w:t>
      </w:r>
      <w:r w:rsidR="00E62D46">
        <w:t xml:space="preserve">celle de la rentabilité des exploitations agricoles ? Comment </w:t>
      </w:r>
      <w:r w:rsidR="0093686D" w:rsidRPr="0093686D">
        <w:rPr>
          <w:i/>
          <w:iCs/>
        </w:rPr>
        <w:t>ne pas opposer</w:t>
      </w:r>
      <w:r w:rsidR="00E62D46">
        <w:t xml:space="preserve"> </w:t>
      </w:r>
      <w:r w:rsidR="00E62D46" w:rsidRPr="0093686D">
        <w:rPr>
          <w:i/>
          <w:iCs/>
        </w:rPr>
        <w:t xml:space="preserve">fin du monde </w:t>
      </w:r>
      <w:r w:rsidR="0093686D" w:rsidRPr="0093686D">
        <w:rPr>
          <w:i/>
          <w:iCs/>
        </w:rPr>
        <w:t xml:space="preserve">et </w:t>
      </w:r>
      <w:r w:rsidR="00E62D46" w:rsidRPr="0093686D">
        <w:rPr>
          <w:i/>
          <w:iCs/>
        </w:rPr>
        <w:t>fin</w:t>
      </w:r>
      <w:r w:rsidR="00D77218">
        <w:rPr>
          <w:i/>
          <w:iCs/>
        </w:rPr>
        <w:t>s</w:t>
      </w:r>
      <w:r w:rsidR="00E62D46" w:rsidRPr="0093686D">
        <w:rPr>
          <w:i/>
          <w:iCs/>
        </w:rPr>
        <w:t xml:space="preserve"> d</w:t>
      </w:r>
      <w:r w:rsidR="00D77218">
        <w:rPr>
          <w:i/>
          <w:iCs/>
        </w:rPr>
        <w:t>e</w:t>
      </w:r>
      <w:r w:rsidR="00E62D46" w:rsidRPr="0093686D">
        <w:rPr>
          <w:i/>
          <w:iCs/>
        </w:rPr>
        <w:t xml:space="preserve"> mois</w:t>
      </w:r>
      <w:r w:rsidR="00E62D46">
        <w:t> ?</w:t>
      </w:r>
    </w:p>
    <w:p w14:paraId="194F7D44" w14:textId="6324BC92" w:rsidR="00567C97" w:rsidRDefault="009C7544" w:rsidP="00567C97">
      <w:pPr>
        <w:jc w:val="both"/>
      </w:pPr>
      <w:r>
        <w:t xml:space="preserve">Cette expression </w:t>
      </w:r>
      <w:r w:rsidR="0093686D">
        <w:t xml:space="preserve">a été </w:t>
      </w:r>
      <w:r>
        <w:t xml:space="preserve">popularisée pendant la période 2018-2019 durant laquelle on a pu assister en France et en Belgique à une vague de mouvements populaires </w:t>
      </w:r>
      <w:r w:rsidR="735142D7">
        <w:t xml:space="preserve">dénonçant et </w:t>
      </w:r>
      <w:r>
        <w:t xml:space="preserve">luttant contre la précarité (mouvement des gilets jaunes) et contre l’inaction face au changement climatique (marches pour le climat) montrant la préoccupation croissante de l’opinion publique pour ces différents enjeux, à la fois si différents et si intrinsèquement liés. </w:t>
      </w:r>
      <w:r w:rsidR="00567C97">
        <w:t xml:space="preserve">Cette difficulté à mettre en œuvre des actions qui répondent à </w:t>
      </w:r>
      <w:proofErr w:type="gramStart"/>
      <w:r w:rsidR="00567C97">
        <w:t>la</w:t>
      </w:r>
      <w:proofErr w:type="gramEnd"/>
      <w:r w:rsidR="00567C97">
        <w:t xml:space="preserve"> fois à des défis de court et de long terme, de nature technique et sociale, et qui prennent en compte les besoins de tou</w:t>
      </w:r>
      <w:r w:rsidR="07B5D599">
        <w:t>·te</w:t>
      </w:r>
      <w:r w:rsidR="675DE36B">
        <w:t>·</w:t>
      </w:r>
      <w:r w:rsidR="00567C97">
        <w:t>s les acteurs</w:t>
      </w:r>
      <w:r w:rsidR="780BAF90">
        <w:t>·trices</w:t>
      </w:r>
      <w:r w:rsidR="00567C97">
        <w:t>, est récurrente. Si l’inclusion est un principe fondateur de l’action d’Eclosio, sa mise en pratique n’est pas toujours facile dans ses différentes zones d’action.</w:t>
      </w:r>
    </w:p>
    <w:p w14:paraId="2D49EF57" w14:textId="5E3BCBF7" w:rsidR="00935562" w:rsidRPr="00935562" w:rsidRDefault="00935562" w:rsidP="0010305C">
      <w:pPr>
        <w:jc w:val="both"/>
        <w:rPr>
          <w:b/>
          <w:bCs/>
        </w:rPr>
      </w:pPr>
      <w:r w:rsidRPr="59B88EC5">
        <w:rPr>
          <w:b/>
          <w:bCs/>
        </w:rPr>
        <w:t>Le défi de l’inclusivité dans nos projets de coopération au développement</w:t>
      </w:r>
    </w:p>
    <w:p w14:paraId="55F4475D" w14:textId="208FA915" w:rsidR="00DA1E54" w:rsidRDefault="00935562" w:rsidP="0010305C">
      <w:pPr>
        <w:jc w:val="both"/>
      </w:pPr>
      <w:r>
        <w:t xml:space="preserve">Alors que la majorité de nos projets de coopération se proposent d’avoir un impact positif sur les populations les plus vulnérables, </w:t>
      </w:r>
      <w:r w:rsidR="1246F658">
        <w:t xml:space="preserve">nous constations </w:t>
      </w:r>
      <w:r>
        <w:t>parfois que les actions d’appui à la transition agroécologique excluent de fait les producteur</w:t>
      </w:r>
      <w:r w:rsidR="222F1850">
        <w:t>s·trice</w:t>
      </w:r>
      <w:r>
        <w:t xml:space="preserve">s les plus pauvres de nos zones d’action. En effet, </w:t>
      </w:r>
      <w:r w:rsidR="000C1571">
        <w:t xml:space="preserve">s’engager dans la transition </w:t>
      </w:r>
      <w:r w:rsidR="00733899">
        <w:t xml:space="preserve">agroécologique </w:t>
      </w:r>
      <w:r w:rsidR="000C1571">
        <w:t xml:space="preserve">signifie </w:t>
      </w:r>
      <w:r>
        <w:t xml:space="preserve">presque toujours </w:t>
      </w:r>
      <w:r w:rsidR="000C1571">
        <w:t xml:space="preserve">prendre </w:t>
      </w:r>
      <w:r>
        <w:t>certains</w:t>
      </w:r>
      <w:r w:rsidR="000C1571">
        <w:t xml:space="preserve"> risques, ce que tout le monde </w:t>
      </w:r>
      <w:r w:rsidR="00E3152D">
        <w:t>n’a pas la capacité</w:t>
      </w:r>
      <w:r w:rsidR="000C1571">
        <w:t xml:space="preserve"> de faire. </w:t>
      </w:r>
    </w:p>
    <w:p w14:paraId="627D81FB" w14:textId="2EF83E04" w:rsidR="00DA1E54" w:rsidRDefault="00DA1E54" w:rsidP="0010305C">
      <w:pPr>
        <w:jc w:val="both"/>
      </w:pPr>
      <w:r>
        <w:t>Changer ses pratiques agricoles signifie en effet pour les producteurs</w:t>
      </w:r>
      <w:r w:rsidR="6651A230">
        <w:t>·trices</w:t>
      </w:r>
      <w:r>
        <w:t xml:space="preserve"> engagé</w:t>
      </w:r>
      <w:r w:rsidR="1DBACB14">
        <w:t>·e</w:t>
      </w:r>
      <w:r>
        <w:t xml:space="preserve">s dans les projets d’investir du temps ou des ressources pour apprendre de nouvelles pratiques, tester de nouveaux intrants qu’il faut se procurer (engrais organiques, semences, biopesticides), ou installer une clôture solide pour protéger </w:t>
      </w:r>
      <w:r w:rsidR="0093686D">
        <w:t xml:space="preserve">les jeunes arbres fraichement plantés </w:t>
      </w:r>
      <w:r>
        <w:t xml:space="preserve">de l’appétit vorace du bétail errant. Même si les projets sont justement là pour appuyer ces changements, il est rare qu’ils </w:t>
      </w:r>
      <w:proofErr w:type="gramStart"/>
      <w:r>
        <w:t>soient en capacité</w:t>
      </w:r>
      <w:proofErr w:type="gramEnd"/>
      <w:r>
        <w:t xml:space="preserve"> de couvrir la totalité des dépenses occasionné</w:t>
      </w:r>
      <w:r w:rsidR="0093686D">
        <w:t>e</w:t>
      </w:r>
      <w:r>
        <w:t>s, le solde restant à charge des producteurs</w:t>
      </w:r>
      <w:r w:rsidR="5074D314">
        <w:t>·</w:t>
      </w:r>
      <w:r w:rsidR="00BC5E92">
        <w:t>trices</w:t>
      </w:r>
      <w:r w:rsidR="0093686D">
        <w:t>. Cette contribution demandée</w:t>
      </w:r>
      <w:r w:rsidR="6CD3F59E">
        <w:t xml:space="preserve"> </w:t>
      </w:r>
      <w:r w:rsidR="0093686D">
        <w:t>aux producteurs-trices représente</w:t>
      </w:r>
      <w:r>
        <w:t xml:space="preserve"> généralement un gage de leur motivation à s’engager </w:t>
      </w:r>
      <w:r w:rsidR="0093686D">
        <w:t>mais devient alors aussi un obstacle pour les plus démunis pour bénéficier de l’appui du projet, quand bien même il</w:t>
      </w:r>
      <w:r w:rsidR="096ACB8F">
        <w:t>·</w:t>
      </w:r>
      <w:r w:rsidR="0093686D">
        <w:t xml:space="preserve">elle serait </w:t>
      </w:r>
      <w:proofErr w:type="gramStart"/>
      <w:r w:rsidR="0093686D">
        <w:t>motivé</w:t>
      </w:r>
      <w:proofErr w:type="gramEnd"/>
      <w:r w:rsidR="2436DEC3">
        <w:t>·</w:t>
      </w:r>
      <w:r w:rsidR="0093686D">
        <w:t>e pour le faire</w:t>
      </w:r>
      <w:r>
        <w:t>.</w:t>
      </w:r>
    </w:p>
    <w:p w14:paraId="7CA2C441" w14:textId="7B173D4F" w:rsidR="00DA1E54" w:rsidRDefault="00DA1E54" w:rsidP="0010305C">
      <w:pPr>
        <w:jc w:val="both"/>
      </w:pPr>
      <w:r>
        <w:t>Le risque réside également dans les résultats incertains de ces nouvelles pratiques</w:t>
      </w:r>
      <w:r w:rsidR="00BC5E92">
        <w:t xml:space="preserve"> pour</w:t>
      </w:r>
      <w:r w:rsidR="452D0C54">
        <w:t xml:space="preserve"> celles et</w:t>
      </w:r>
      <w:r w:rsidR="00BC5E92">
        <w:t xml:space="preserve"> ceux qui les testent pour la première fois</w:t>
      </w:r>
      <w:r>
        <w:t xml:space="preserve">. </w:t>
      </w:r>
      <w:r w:rsidR="00BC5E92">
        <w:t>L</w:t>
      </w:r>
      <w:r>
        <w:t>es producteurs</w:t>
      </w:r>
      <w:r w:rsidR="7A3C99CB">
        <w:t>·</w:t>
      </w:r>
      <w:r w:rsidR="00BC5E92">
        <w:t xml:space="preserve">trices doivent alors assumer la crainte que le rendement escompté ne soit pas au rendez-vous. Là encore, ce sont les familles les plus pauvres qui auront le plus de mal à prendre ce risque et à se lancer dans un changement de pratique pour ne pas mettre en péril la survie de la famille. </w:t>
      </w:r>
    </w:p>
    <w:p w14:paraId="455A122B" w14:textId="25F81388" w:rsidR="00E3152D" w:rsidRDefault="000C1571" w:rsidP="0010305C">
      <w:pPr>
        <w:jc w:val="both"/>
      </w:pPr>
      <w:r>
        <w:t xml:space="preserve">La </w:t>
      </w:r>
      <w:r w:rsidR="003934A1">
        <w:t>transition agroécologique</w:t>
      </w:r>
      <w:r>
        <w:t xml:space="preserve"> ne serait</w:t>
      </w:r>
      <w:r w:rsidR="00733899">
        <w:t xml:space="preserve"> </w:t>
      </w:r>
      <w:r>
        <w:t>donc</w:t>
      </w:r>
      <w:r w:rsidR="00733899">
        <w:t>-t-elle</w:t>
      </w:r>
      <w:r>
        <w:t xml:space="preserve"> pas accessible à </w:t>
      </w:r>
      <w:r w:rsidR="36879B9C">
        <w:t xml:space="preserve">toutes et </w:t>
      </w:r>
      <w:r>
        <w:t>tous</w:t>
      </w:r>
      <w:r w:rsidR="00733899">
        <w:t> ?</w:t>
      </w:r>
      <w:r w:rsidR="0082256B">
        <w:t xml:space="preserve"> Au nord comme au Sud les producteurs</w:t>
      </w:r>
      <w:r w:rsidR="4B0F7096">
        <w:t>·trices</w:t>
      </w:r>
      <w:r w:rsidR="0082256B">
        <w:t xml:space="preserve"> font face à de sérieuses difficultés et se trouvent souvent parmi les classes les plus pauvres de la population. La </w:t>
      </w:r>
      <w:r w:rsidR="003934A1">
        <w:t xml:space="preserve">transition </w:t>
      </w:r>
      <w:r w:rsidR="00455BB2">
        <w:t>vers une agriculture durable</w:t>
      </w:r>
      <w:r w:rsidR="0082256B">
        <w:t xml:space="preserve">, si elle peut représenter parfois de nouvelles opportunités, et pourtant souvent perçue </w:t>
      </w:r>
      <w:r w:rsidR="003934A1">
        <w:t>avec son lot de</w:t>
      </w:r>
      <w:r w:rsidR="0082256B">
        <w:t xml:space="preserve"> contraintes supplémentaires aux nombreux problèmes déjà </w:t>
      </w:r>
      <w:r w:rsidR="00455BB2">
        <w:t>rencontrés par les producteurs</w:t>
      </w:r>
      <w:r w:rsidR="24D65486">
        <w:t>·trices</w:t>
      </w:r>
      <w:r w:rsidR="0082256B">
        <w:t xml:space="preserve"> </w:t>
      </w:r>
      <w:r w:rsidR="00455BB2">
        <w:t>Le changement de modèle agricole</w:t>
      </w:r>
      <w:r w:rsidR="00990D75">
        <w:t xml:space="preserve"> demande donc un appui important pendant la phase de transition durant laquelle les difficultés immédiates inhérentes au changement sont plus importantes que les bénéfices qui se manifestent à plus long terme.</w:t>
      </w:r>
      <w:r w:rsidR="0082256B">
        <w:t xml:space="preserve"> </w:t>
      </w:r>
      <w:r w:rsidR="00990D75">
        <w:t>Cette phase est donc particulièrement importante à soutenir pour qu’un plus grand nombre a</w:t>
      </w:r>
      <w:r w:rsidR="00455BB2">
        <w:t>ie</w:t>
      </w:r>
      <w:r w:rsidR="00990D75">
        <w:t xml:space="preserve"> la possibilité de </w:t>
      </w:r>
      <w:r w:rsidR="001C24EB">
        <w:t>se</w:t>
      </w:r>
      <w:r w:rsidR="00990D75">
        <w:t xml:space="preserve"> lancer.</w:t>
      </w:r>
      <w:r w:rsidR="00455BB2">
        <w:t xml:space="preserve"> </w:t>
      </w:r>
    </w:p>
    <w:p w14:paraId="07AC74E4" w14:textId="629816A4" w:rsidR="003934A1" w:rsidRPr="00765A73" w:rsidRDefault="0029274F" w:rsidP="0010305C">
      <w:pPr>
        <w:jc w:val="both"/>
        <w:rPr>
          <w:b/>
          <w:bCs/>
        </w:rPr>
      </w:pPr>
      <w:r>
        <w:rPr>
          <w:b/>
          <w:bCs/>
        </w:rPr>
        <w:t>Des projets d’appui à l’</w:t>
      </w:r>
      <w:r w:rsidR="00765A73" w:rsidRPr="00765A73">
        <w:rPr>
          <w:b/>
          <w:bCs/>
        </w:rPr>
        <w:t>agroécologie face aux inégalités structurelles</w:t>
      </w:r>
    </w:p>
    <w:p w14:paraId="37C6A3D3" w14:textId="7182C2CA" w:rsidR="00733899" w:rsidRDefault="00733899" w:rsidP="00765A73">
      <w:pPr>
        <w:jc w:val="both"/>
      </w:pPr>
      <w:r>
        <w:lastRenderedPageBreak/>
        <w:t xml:space="preserve">D’autres obstacles à la transition trouvent leurs racines dans des inégalités plus structurelles. C’est le cas par exemple des femmes dont l’accès à la terre est </w:t>
      </w:r>
      <w:r w:rsidR="00455BB2">
        <w:t xml:space="preserve">souvent </w:t>
      </w:r>
      <w:r>
        <w:t>plus difficile</w:t>
      </w:r>
      <w:r w:rsidR="00455BB2">
        <w:t xml:space="preserve"> que pour les hommes</w:t>
      </w:r>
      <w:r>
        <w:t xml:space="preserve">. </w:t>
      </w:r>
      <w:r w:rsidR="00455BB2">
        <w:t xml:space="preserve">L’engagement </w:t>
      </w:r>
      <w:r>
        <w:t xml:space="preserve">dans une transition agroécologique se traduit par des actions comme l’amélioration progressive de la fertilité des sols via leur restauration ou la plantation d’espèces pérennes qui prendront plusieurs années. De telles actions ne sont possibles que si l’on dispose d’un accès sécurisé à la terre, qui permette de se projeter sur son utilisation pendant une longue durée. </w:t>
      </w:r>
      <w:r w:rsidR="00076C0D">
        <w:t>Certaines normes sociales liée</w:t>
      </w:r>
      <w:r w:rsidR="00D3598E">
        <w:t>s</w:t>
      </w:r>
      <w:r w:rsidR="00076C0D">
        <w:t xml:space="preserve"> au patriarcat sont à l’origine de ces difficultés d’accès des femmes à la terre, mais aussi aux financements, moyens de production, aux ressources naturelles, aux formations… Ce contexte structurellement excluant pour les femmes, </w:t>
      </w:r>
      <w:r w:rsidR="00455BB2">
        <w:t>rend plus difficile leur participation aux</w:t>
      </w:r>
      <w:r w:rsidR="00076C0D">
        <w:t xml:space="preserve"> projets d’appui à la transition agroécologique si </w:t>
      </w:r>
      <w:r w:rsidR="00236C44">
        <w:t>ceux-ci</w:t>
      </w:r>
      <w:r w:rsidR="00076C0D">
        <w:t xml:space="preserve"> ne trouvent pas un moyen de prendre en compte ces aspects</w:t>
      </w:r>
      <w:r w:rsidR="00D3598E">
        <w:t>.</w:t>
      </w:r>
    </w:p>
    <w:p w14:paraId="557A3387" w14:textId="4FC04976" w:rsidR="00076C0D" w:rsidRDefault="00076C0D" w:rsidP="00765A73">
      <w:pPr>
        <w:jc w:val="both"/>
      </w:pPr>
      <w:r>
        <w:t>D’autres facteurs structurels s’avèrent être également des obstacles importants à l’agroécologi</w:t>
      </w:r>
      <w:r w:rsidR="0029274F">
        <w:t>e comme les règles internationales de libre commerce qui défavorisent les producteurs</w:t>
      </w:r>
      <w:r w:rsidR="7C57183A">
        <w:t>·trices</w:t>
      </w:r>
      <w:r w:rsidR="0029274F">
        <w:t xml:space="preserve"> de petite échelle ou encore les politiques de développement agricole souvent encore favorable</w:t>
      </w:r>
      <w:r w:rsidR="017DCD88">
        <w:t>s</w:t>
      </w:r>
      <w:r w:rsidR="0029274F">
        <w:t xml:space="preserve"> à une agriculture conventionnelle (subvention d’intrants chimiques, conseil agricole non adapté au</w:t>
      </w:r>
      <w:r w:rsidR="440AD01C">
        <w:t>x</w:t>
      </w:r>
      <w:r w:rsidR="0029274F">
        <w:t xml:space="preserve"> principes de l’agroécologie) qui de fait défavorisent les producteurs</w:t>
      </w:r>
      <w:r w:rsidR="3FB8D210">
        <w:t>·</w:t>
      </w:r>
      <w:r w:rsidR="0029274F">
        <w:t xml:space="preserve">trices qui tenteraient de sortir de ce modèle. </w:t>
      </w:r>
    </w:p>
    <w:p w14:paraId="51FEF473" w14:textId="7D5A0E0B" w:rsidR="003934A1" w:rsidRPr="003934A1" w:rsidRDefault="003934A1" w:rsidP="0010305C">
      <w:pPr>
        <w:jc w:val="both"/>
        <w:rPr>
          <w:b/>
          <w:bCs/>
        </w:rPr>
      </w:pPr>
      <w:r w:rsidRPr="59B88EC5">
        <w:rPr>
          <w:b/>
          <w:bCs/>
        </w:rPr>
        <w:t>Accompagner les transitions sans renforcer les inégalités</w:t>
      </w:r>
    </w:p>
    <w:p w14:paraId="4D16EF27" w14:textId="4B4790F7" w:rsidR="001648CF" w:rsidRDefault="00A45FC2" w:rsidP="0010305C">
      <w:pPr>
        <w:jc w:val="both"/>
      </w:pPr>
      <w:r>
        <w:t>Certaines approches d’accompagnement de la transition agroécologique au niveau villageois se base</w:t>
      </w:r>
      <w:r w:rsidR="733DFF0C">
        <w:t>nt</w:t>
      </w:r>
      <w:r>
        <w:t xml:space="preserve"> sur des producteurs</w:t>
      </w:r>
      <w:r w:rsidR="7DC89D57">
        <w:t>·trices</w:t>
      </w:r>
      <w:r>
        <w:t xml:space="preserve"> relais ou des </w:t>
      </w:r>
      <w:r w:rsidR="001C24EB">
        <w:t>fermes</w:t>
      </w:r>
      <w:r>
        <w:t xml:space="preserve"> modèles qui, appuyé</w:t>
      </w:r>
      <w:r w:rsidR="6E08F486">
        <w:t>·e</w:t>
      </w:r>
      <w:r>
        <w:t>s par le projet, auront la charge de tester des pratiques et en démontrer et diffuser les bienfaits auprès de leur</w:t>
      </w:r>
      <w:r w:rsidR="79214446">
        <w:t>s</w:t>
      </w:r>
      <w:r>
        <w:t xml:space="preserve"> pair</w:t>
      </w:r>
      <w:r w:rsidR="5A3D4152">
        <w:t>s</w:t>
      </w:r>
      <w:r>
        <w:t>. Si cette approche de diffusion d’expériences par les pairs est intéressante et par sa nature horizontale, propice à une inclusion de toutes et tous dans la diffusion des pratiques, elle contribue cependant à favoriser des producteurs</w:t>
      </w:r>
      <w:r w:rsidR="6AF9B2DB">
        <w:t>·trices</w:t>
      </w:r>
      <w:r>
        <w:t xml:space="preserve"> déjà en position de privilégié</w:t>
      </w:r>
      <w:r w:rsidR="6C2DEDFA">
        <w:t>·e</w:t>
      </w:r>
      <w:r>
        <w:t>s au sein de leurs communautés. En effet, les personnes qui se portent volontaires pour devenir un</w:t>
      </w:r>
      <w:r w:rsidR="487473F5">
        <w:t>·e</w:t>
      </w:r>
      <w:r>
        <w:t xml:space="preserve"> paysan</w:t>
      </w:r>
      <w:r w:rsidR="1DBDB514">
        <w:t>·ne</w:t>
      </w:r>
      <w:r>
        <w:t>-relais</w:t>
      </w:r>
      <w:r w:rsidR="001C24EB">
        <w:t>, majoritairement des hommes</w:t>
      </w:r>
      <w:r w:rsidR="00FE5C40">
        <w:t xml:space="preserve"> par ailleurs dans nos projets</w:t>
      </w:r>
      <w:r w:rsidR="001C24EB">
        <w:t>,</w:t>
      </w:r>
      <w:r>
        <w:t xml:space="preserve"> sont souvent </w:t>
      </w:r>
      <w:r w:rsidR="2775F1D9">
        <w:t xml:space="preserve">celles et </w:t>
      </w:r>
      <w:r>
        <w:t xml:space="preserve">ceux qui ont soit une position de pouvoir dans le village ou </w:t>
      </w:r>
      <w:r w:rsidR="2616EB5C">
        <w:t xml:space="preserve">celles et </w:t>
      </w:r>
      <w:r>
        <w:t>ceux qui disposent d’un plus grand capital</w:t>
      </w:r>
      <w:r w:rsidR="001C24EB">
        <w:t>,</w:t>
      </w:r>
      <w:r>
        <w:t xml:space="preserve"> </w:t>
      </w:r>
      <w:r w:rsidR="001C24EB">
        <w:t>leur permettant la possibilité</w:t>
      </w:r>
      <w:r>
        <w:t xml:space="preserve"> de se dédier à ces t</w:t>
      </w:r>
      <w:r w:rsidR="001C24EB">
        <w:t>â</w:t>
      </w:r>
      <w:r>
        <w:t xml:space="preserve">ches d’expérimentation et diffusion. Une étude menée </w:t>
      </w:r>
      <w:r w:rsidR="001C24EB">
        <w:t xml:space="preserve">avec Eclosio </w:t>
      </w:r>
      <w:r>
        <w:t>dans le cadre d’un mémoire de Master</w:t>
      </w:r>
      <w:r w:rsidR="001C24EB">
        <w:rPr>
          <w:rStyle w:val="Appelnotedebasdep"/>
        </w:rPr>
        <w:footnoteReference w:id="2"/>
      </w:r>
      <w:r>
        <w:t xml:space="preserve"> en 2019 a permis de mettre en évidence de phénomène au Cambodge.</w:t>
      </w:r>
    </w:p>
    <w:p w14:paraId="39B694BE" w14:textId="34FA90A9" w:rsidR="00CF6454" w:rsidRDefault="00A45FC2" w:rsidP="0010305C">
      <w:pPr>
        <w:jc w:val="both"/>
      </w:pPr>
      <w:r>
        <w:t>Plusieurs pistes doivent donc être privilégiées pour tenter d’éviter de renforcer des inégalités existantes</w:t>
      </w:r>
      <w:r w:rsidR="00CF6454">
        <w:t>, selon le principe « do not harm »</w:t>
      </w:r>
      <w:r w:rsidR="001C24EB">
        <w:t xml:space="preserve"> (en fra</w:t>
      </w:r>
      <w:r w:rsidR="3E286BDA">
        <w:t>n</w:t>
      </w:r>
      <w:r w:rsidR="001C24EB">
        <w:t>çais : « ne pas porter préjudice »)</w:t>
      </w:r>
      <w:r w:rsidR="00CF6454">
        <w:t>. Il semble par exemple intéressant de privilégier les approches</w:t>
      </w:r>
      <w:r w:rsidR="0EBF8970">
        <w:t xml:space="preserve"> permettant</w:t>
      </w:r>
      <w:r w:rsidR="00CF6454">
        <w:t xml:space="preserve"> simultanément de développer des pratiques agricoles </w:t>
      </w:r>
      <w:r w:rsidR="1FE9B472">
        <w:t>qui contribuent à</w:t>
      </w:r>
      <w:r w:rsidR="00CF6454">
        <w:t xml:space="preserve"> protéger l’environnement </w:t>
      </w:r>
      <w:r w:rsidR="557737E4">
        <w:t xml:space="preserve">et ce, tout en </w:t>
      </w:r>
      <w:r w:rsidR="4B9FAA91">
        <w:t xml:space="preserve">favorisant </w:t>
      </w:r>
      <w:r w:rsidR="00CF6454">
        <w:t>le développement d’opportunités économiques et émancipatrices. Ainsi</w:t>
      </w:r>
      <w:r w:rsidR="6A5FFCC7">
        <w:t>,</w:t>
      </w:r>
      <w:r w:rsidR="00CF6454">
        <w:t xml:space="preserve"> plusieurs innovations techniques se prêtent à développer l’entreprenariat de jeunes et de groupements de femmes, dans une perspective d’autonomisation. </w:t>
      </w:r>
    </w:p>
    <w:p w14:paraId="46D32E19" w14:textId="11055323" w:rsidR="003934A1" w:rsidRDefault="00CF6454" w:rsidP="0010305C">
      <w:pPr>
        <w:jc w:val="both"/>
      </w:pPr>
      <w:r>
        <w:t>Par ailleurs, des m</w:t>
      </w:r>
      <w:r w:rsidR="003934A1">
        <w:t>éthode</w:t>
      </w:r>
      <w:r>
        <w:t>s</w:t>
      </w:r>
      <w:r w:rsidR="003934A1">
        <w:t xml:space="preserve"> d</w:t>
      </w:r>
      <w:r>
        <w:t>’accompagnement du changem</w:t>
      </w:r>
      <w:r w:rsidR="003934A1">
        <w:t>e</w:t>
      </w:r>
      <w:r>
        <w:t>nt</w:t>
      </w:r>
      <w:r w:rsidR="003934A1">
        <w:t xml:space="preserve"> </w:t>
      </w:r>
      <w:r>
        <w:t>à une échelle c</w:t>
      </w:r>
      <w:r w:rsidR="003934A1">
        <w:t>ollecti</w:t>
      </w:r>
      <w:r>
        <w:t>ve</w:t>
      </w:r>
      <w:r w:rsidR="003934A1">
        <w:t>, associant la communauté ou favorisant les échanges pour un partage du risque et de l’</w:t>
      </w:r>
      <w:r>
        <w:t>investissement</w:t>
      </w:r>
      <w:r w:rsidR="003934A1">
        <w:t xml:space="preserve"> par les communautés</w:t>
      </w:r>
      <w:r w:rsidR="524B093F">
        <w:t>,</w:t>
      </w:r>
      <w:r>
        <w:t xml:space="preserve"> permettent de garder un certain contrôle social sur les éventuels accaparements de </w:t>
      </w:r>
      <w:r>
        <w:lastRenderedPageBreak/>
        <w:t>bénéfices du projet</w:t>
      </w:r>
      <w:r w:rsidR="003B2F7B">
        <w:t xml:space="preserve">, </w:t>
      </w:r>
      <w:r w:rsidR="00D77218">
        <w:t>et favorisent aussi un partage d</w:t>
      </w:r>
      <w:r w:rsidR="003B2F7B">
        <w:t>es apprentissages</w:t>
      </w:r>
      <w:r>
        <w:t xml:space="preserve">. La dynamique collective de ces approches peut </w:t>
      </w:r>
      <w:r w:rsidR="003B2F7B">
        <w:t>en effet</w:t>
      </w:r>
      <w:r>
        <w:t xml:space="preserve"> avoir des effets stimulant</w:t>
      </w:r>
      <w:r w:rsidR="003B2F7B">
        <w:t>s</w:t>
      </w:r>
      <w:r>
        <w:t xml:space="preserve"> sur le changement, les producteurs</w:t>
      </w:r>
      <w:r w:rsidR="457DDC77">
        <w:t>·</w:t>
      </w:r>
      <w:r>
        <w:t>trices pouvant s’engager plus durablement dans une transition agroécologique s’il</w:t>
      </w:r>
      <w:r w:rsidR="25D182F6">
        <w:t>s</w:t>
      </w:r>
      <w:r w:rsidR="2FE84FD8">
        <w:t>·</w:t>
      </w:r>
      <w:r w:rsidR="25D182F6">
        <w:t>elles</w:t>
      </w:r>
      <w:r>
        <w:t xml:space="preserve"> se sentent partie prenante d’un mouvement collectif plutôt que pionnier isolé. Ainsi, une prise en compte des aspects psycho-sociaux </w:t>
      </w:r>
      <w:r w:rsidR="00FB762A">
        <w:t xml:space="preserve">des communautés </w:t>
      </w:r>
      <w:r>
        <w:t>permet d’utiliser plus efficacement différente</w:t>
      </w:r>
      <w:r w:rsidR="00FB762A">
        <w:t>s</w:t>
      </w:r>
      <w:r>
        <w:t xml:space="preserve"> porte</w:t>
      </w:r>
      <w:r w:rsidR="00FB762A">
        <w:t>s</w:t>
      </w:r>
      <w:r>
        <w:t xml:space="preserve"> d’entrée</w:t>
      </w:r>
      <w:r w:rsidR="00FB762A">
        <w:t>s</w:t>
      </w:r>
      <w:r>
        <w:t xml:space="preserve"> du changement </w:t>
      </w:r>
      <w:r w:rsidR="00FB762A">
        <w:t xml:space="preserve">pour impulser la transition agroécologique comme le montre une étude basée sur les théories de Kurt Lewin </w:t>
      </w:r>
      <w:r>
        <w:t>(</w:t>
      </w:r>
      <w:r w:rsidR="003934A1">
        <w:t>Faulx et al</w:t>
      </w:r>
      <w:r>
        <w:t>, 2019</w:t>
      </w:r>
      <w:r w:rsidR="00FB762A">
        <w:rPr>
          <w:rStyle w:val="Appelnotedebasdep"/>
        </w:rPr>
        <w:footnoteReference w:id="3"/>
      </w:r>
      <w:r w:rsidR="003934A1">
        <w:t>)</w:t>
      </w:r>
      <w:r w:rsidR="00FB762A">
        <w:t>.</w:t>
      </w:r>
    </w:p>
    <w:p w14:paraId="3FDD6172" w14:textId="47AA343B" w:rsidR="001648CF" w:rsidRDefault="00FB762A" w:rsidP="0010305C">
      <w:pPr>
        <w:jc w:val="both"/>
      </w:pPr>
      <w:r>
        <w:t>Enfin, une part importante des projets peut être réservée aux actions de plaidoyer, qui, basées sur les expériences de terrain menées avec les communautés paysannes, doivent s’atteler à montrer les résultats obtenus par les acteurs</w:t>
      </w:r>
      <w:r w:rsidR="467F105D">
        <w:t>·trices</w:t>
      </w:r>
      <w:r>
        <w:t xml:space="preserve"> de terrain et tenter d’impliquer les sphères de pouvoir dans une  réflexion sur les enjeux de la transition : </w:t>
      </w:r>
      <w:r w:rsidR="001648CF">
        <w:t>recherche scientifique pour les accompagner, conseil agricole adapté</w:t>
      </w:r>
      <w:r w:rsidR="003B2F7B">
        <w:t>, subventions de l’état favorable</w:t>
      </w:r>
      <w:r w:rsidR="278684AD">
        <w:t>s</w:t>
      </w:r>
      <w:r w:rsidR="003B2F7B">
        <w:t xml:space="preserve"> aux modèles agroécologique</w:t>
      </w:r>
      <w:r w:rsidR="6CBCCC57">
        <w:t>s</w:t>
      </w:r>
      <w:r w:rsidR="003B2F7B">
        <w:t xml:space="preserve"> ou encore utilisation des opportunités entrepreneuriales de l’agroécologie com</w:t>
      </w:r>
      <w:r w:rsidR="07DA2B2C">
        <w:t>m</w:t>
      </w:r>
      <w:r w:rsidR="003B2F7B">
        <w:t>e moyen</w:t>
      </w:r>
      <w:r w:rsidR="3DDE16D8">
        <w:t>s</w:t>
      </w:r>
      <w:r w:rsidR="003B2F7B">
        <w:t xml:space="preserve"> d’insertion sociale…</w:t>
      </w:r>
    </w:p>
    <w:p w14:paraId="6C0935A2" w14:textId="629400C1" w:rsidR="003B2F7B" w:rsidRPr="003B2F7B" w:rsidRDefault="752A9A21" w:rsidP="0010305C">
      <w:pPr>
        <w:jc w:val="both"/>
        <w:rPr>
          <w:b/>
          <w:bCs/>
        </w:rPr>
      </w:pPr>
      <w:r w:rsidRPr="59B88EC5">
        <w:rPr>
          <w:b/>
          <w:bCs/>
        </w:rPr>
        <w:t>P</w:t>
      </w:r>
      <w:r w:rsidR="003B2F7B" w:rsidRPr="59B88EC5">
        <w:rPr>
          <w:b/>
          <w:bCs/>
        </w:rPr>
        <w:t>as de transition inclusive sans cohérence des politiques</w:t>
      </w:r>
    </w:p>
    <w:p w14:paraId="3A6321AE" w14:textId="62EDC43B" w:rsidR="003B2F7B" w:rsidRDefault="003B2F7B" w:rsidP="0010305C">
      <w:pPr>
        <w:jc w:val="both"/>
      </w:pPr>
      <w:r>
        <w:t xml:space="preserve">Une approche inclusive basée sur les droits de la transition agroécologique nous amène à prendre en compte plusieurs aspects sociaux du changement. La question de </w:t>
      </w:r>
      <w:r w:rsidR="3D4CA225">
        <w:t xml:space="preserve">savoir </w:t>
      </w:r>
      <w:r>
        <w:t xml:space="preserve">qui assume </w:t>
      </w:r>
      <w:r w:rsidR="1C5AF484">
        <w:t xml:space="preserve">et qui devrait assumer </w:t>
      </w:r>
      <w:r>
        <w:t>la prise de risque liée à la transition est cruciale : les plus vulnérables ne peuvent être les seul</w:t>
      </w:r>
      <w:r w:rsidR="081C0A3B">
        <w:t>·e</w:t>
      </w:r>
      <w:r>
        <w:t xml:space="preserve">s à en porter l’effort, mais doivent également pouvoir bénéficier des apprentissages obtenus par </w:t>
      </w:r>
      <w:r w:rsidR="33D6D2E3">
        <w:t xml:space="preserve">celles et </w:t>
      </w:r>
      <w:r>
        <w:t>ceux ayant eu l’opportunité d’</w:t>
      </w:r>
      <w:r w:rsidR="71AB8329">
        <w:t>ê</w:t>
      </w:r>
      <w:r>
        <w:t>tre appuyé</w:t>
      </w:r>
      <w:r w:rsidR="0BB72FB7">
        <w:t>·e</w:t>
      </w:r>
      <w:r>
        <w:t xml:space="preserve">s pour initier la transition. C’est donc autant la question du partage collectif des apprentissages que </w:t>
      </w:r>
      <w:r w:rsidR="00E3152D">
        <w:t>celle</w:t>
      </w:r>
      <w:r>
        <w:t xml:space="preserve"> du financement des surcout</w:t>
      </w:r>
      <w:r w:rsidR="00E3152D">
        <w:t>s</w:t>
      </w:r>
      <w:r>
        <w:t xml:space="preserve"> liés à la transition qui doivent</w:t>
      </w:r>
      <w:r w:rsidR="00E3152D">
        <w:t xml:space="preserve"> être accompagnées et prise</w:t>
      </w:r>
      <w:r w:rsidR="6AF9551E">
        <w:t>s</w:t>
      </w:r>
      <w:r w:rsidR="00E3152D">
        <w:t xml:space="preserve"> en charge par les projets </w:t>
      </w:r>
      <w:r w:rsidR="00D77218">
        <w:t>ou</w:t>
      </w:r>
      <w:r w:rsidR="00E3152D">
        <w:t xml:space="preserve"> par les pouvoirs publics.</w:t>
      </w:r>
    </w:p>
    <w:p w14:paraId="6D39477F" w14:textId="6D8F4A78" w:rsidR="00E3152D" w:rsidRDefault="00E3152D" w:rsidP="0010305C">
      <w:pPr>
        <w:jc w:val="both"/>
      </w:pPr>
      <w:r>
        <w:t xml:space="preserve">Les obstacles structurels comme le patriarcat, les accords de </w:t>
      </w:r>
      <w:r w:rsidR="00D77218">
        <w:t>libre-échange</w:t>
      </w:r>
      <w:r>
        <w:t xml:space="preserve"> et le néocolonialisme doivent être pris en compte dans une vision systémique des enjeux, ce qui implique d’améliorer la cohérence des politiques comme le réclame la Coalition contre la faim</w:t>
      </w:r>
      <w:r>
        <w:rPr>
          <w:rStyle w:val="Appelnotedebasdep"/>
        </w:rPr>
        <w:footnoteReference w:id="4"/>
      </w:r>
      <w:r>
        <w:t xml:space="preserve">, </w:t>
      </w:r>
      <w:r w:rsidR="3EE8C290">
        <w:t xml:space="preserve">c’est-à-dire </w:t>
      </w:r>
      <w:r>
        <w:t>comme un facteur déterminant pour atteindre les objectifs du développement durable</w:t>
      </w:r>
      <w:r w:rsidR="00D77218">
        <w:rPr>
          <w:rStyle w:val="Appelnotedebasdep"/>
        </w:rPr>
        <w:footnoteReference w:id="5"/>
      </w:r>
      <w:r>
        <w:t xml:space="preserve">. </w:t>
      </w:r>
    </w:p>
    <w:p w14:paraId="74CF07FA" w14:textId="64153E99" w:rsidR="59B88EC5" w:rsidRDefault="59B88EC5" w:rsidP="59B88EC5">
      <w:pPr>
        <w:jc w:val="both"/>
      </w:pPr>
    </w:p>
    <w:p w14:paraId="71844282" w14:textId="77777777" w:rsidR="00FE5C40" w:rsidRDefault="00FE5C40" w:rsidP="59B88EC5">
      <w:pPr>
        <w:jc w:val="both"/>
      </w:pPr>
    </w:p>
    <w:p w14:paraId="3226A88D" w14:textId="14E731B7" w:rsidR="00FE5C40" w:rsidRDefault="00FE5C40" w:rsidP="00FE5C40">
      <w:pPr>
        <w:jc w:val="both"/>
      </w:pPr>
    </w:p>
    <w:sectPr w:rsidR="00FE5C4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A9910E" w14:textId="77777777" w:rsidR="00D32DAD" w:rsidRDefault="00D32DAD" w:rsidP="00E92EBB">
      <w:pPr>
        <w:spacing w:after="0" w:line="240" w:lineRule="auto"/>
      </w:pPr>
      <w:r>
        <w:separator/>
      </w:r>
    </w:p>
  </w:endnote>
  <w:endnote w:type="continuationSeparator" w:id="0">
    <w:p w14:paraId="0FE7EB32" w14:textId="77777777" w:rsidR="00D32DAD" w:rsidRDefault="00D32DAD" w:rsidP="00E9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0F45F67" w14:textId="77777777" w:rsidR="00D32DAD" w:rsidRDefault="00D32DAD" w:rsidP="00E92EBB">
      <w:pPr>
        <w:spacing w:after="0" w:line="240" w:lineRule="auto"/>
      </w:pPr>
      <w:r>
        <w:separator/>
      </w:r>
    </w:p>
  </w:footnote>
  <w:footnote w:type="continuationSeparator" w:id="0">
    <w:p w14:paraId="25510DD4" w14:textId="77777777" w:rsidR="00D32DAD" w:rsidRDefault="00D32DAD" w:rsidP="00E92EBB">
      <w:pPr>
        <w:spacing w:after="0" w:line="240" w:lineRule="auto"/>
      </w:pPr>
      <w:r>
        <w:continuationSeparator/>
      </w:r>
    </w:p>
  </w:footnote>
  <w:footnote w:id="1">
    <w:p w14:paraId="7CBBACAD" w14:textId="0A3DB588" w:rsidR="00E92EBB" w:rsidRPr="000F65C5" w:rsidRDefault="00E92EBB" w:rsidP="00E931E5">
      <w:pPr>
        <w:autoSpaceDE w:val="0"/>
        <w:autoSpaceDN w:val="0"/>
        <w:adjustRightInd w:val="0"/>
        <w:spacing w:after="0" w:line="240" w:lineRule="auto"/>
        <w:jc w:val="both"/>
        <w:rPr>
          <w:rFonts w:cstheme="minorHAnsi"/>
          <w:color w:val="000000"/>
          <w:kern w:val="0"/>
          <w:sz w:val="20"/>
          <w:szCs w:val="20"/>
          <w:lang w:val="fi-FI"/>
        </w:rPr>
      </w:pPr>
      <w:r w:rsidRPr="00E931E5">
        <w:rPr>
          <w:rStyle w:val="Appelnotedebasdep"/>
          <w:rFonts w:cstheme="minorHAnsi"/>
          <w:sz w:val="20"/>
          <w:szCs w:val="20"/>
        </w:rPr>
        <w:footnoteRef/>
      </w:r>
      <w:r w:rsidRPr="001C24EB">
        <w:rPr>
          <w:rFonts w:cstheme="minorHAnsi"/>
          <w:sz w:val="20"/>
          <w:szCs w:val="20"/>
        </w:rPr>
        <w:t xml:space="preserve"> </w:t>
      </w:r>
      <w:r w:rsidRPr="001C24EB">
        <w:rPr>
          <w:rFonts w:cstheme="minorHAnsi"/>
          <w:color w:val="000000"/>
          <w:kern w:val="0"/>
          <w:sz w:val="20"/>
          <w:szCs w:val="20"/>
        </w:rPr>
        <w:t xml:space="preserve">HLPE. 2019. </w:t>
      </w:r>
      <w:r w:rsidR="00E931E5" w:rsidRPr="00E931E5">
        <w:rPr>
          <w:rFonts w:cstheme="minorHAnsi"/>
          <w:sz w:val="20"/>
          <w:szCs w:val="20"/>
        </w:rPr>
        <w:t xml:space="preserve">Approches agroécologiques et autres approches novatrices pour une agriculture et des systèmes alimentaires durables propres à améliorer la sécurité alimentaire et la nutrition. Un rapport du Groupe d’experts de haut niveau sur la sécurité alimentaire et la nutrition. </w:t>
      </w:r>
      <w:r w:rsidR="00E931E5" w:rsidRPr="000F65C5">
        <w:rPr>
          <w:rFonts w:cstheme="minorHAnsi"/>
          <w:sz w:val="20"/>
          <w:szCs w:val="20"/>
          <w:lang w:val="fi-FI"/>
        </w:rPr>
        <w:t>17 juillet 2019</w:t>
      </w:r>
      <w:r w:rsidRPr="000F65C5">
        <w:rPr>
          <w:rFonts w:cstheme="minorHAnsi"/>
          <w:color w:val="000000"/>
          <w:kern w:val="0"/>
          <w:sz w:val="20"/>
          <w:szCs w:val="20"/>
          <w:lang w:val="fi-FI"/>
        </w:rPr>
        <w:t>, Rome.</w:t>
      </w:r>
    </w:p>
    <w:p w14:paraId="3743915D" w14:textId="01FF14BB" w:rsidR="00E92EBB" w:rsidRPr="000F65C5" w:rsidRDefault="00E931E5" w:rsidP="00E931E5">
      <w:pPr>
        <w:pStyle w:val="Notedebasdepage"/>
        <w:jc w:val="both"/>
        <w:rPr>
          <w:rFonts w:cstheme="minorHAnsi"/>
          <w:lang w:val="fi-FI"/>
        </w:rPr>
      </w:pPr>
      <w:hyperlink r:id="rId1" w:history="1">
        <w:r w:rsidRPr="000F65C5">
          <w:rPr>
            <w:rStyle w:val="Lienhypertexte"/>
            <w:rFonts w:cstheme="minorHAnsi"/>
            <w:kern w:val="0"/>
            <w:lang w:val="fi-FI"/>
          </w:rPr>
          <w:t>https://www.fao.org/fileadmin/templates/cfs/HLPE/reports/HLPE_Report_14_FR.pdf</w:t>
        </w:r>
      </w:hyperlink>
      <w:r w:rsidRPr="000F65C5">
        <w:rPr>
          <w:rFonts w:cstheme="minorHAnsi"/>
          <w:color w:val="0000FF"/>
          <w:kern w:val="0"/>
          <w:lang w:val="fi-FI"/>
        </w:rPr>
        <w:t xml:space="preserve"> </w:t>
      </w:r>
    </w:p>
  </w:footnote>
  <w:footnote w:id="2">
    <w:p w14:paraId="75A28538" w14:textId="77777777" w:rsidR="001C24EB" w:rsidRPr="00A45FC2" w:rsidRDefault="001C24EB" w:rsidP="001C24EB">
      <w:pPr>
        <w:pStyle w:val="Default"/>
        <w:rPr>
          <w:rFonts w:asciiTheme="minorHAnsi" w:hAnsiTheme="minorHAnsi" w:cstheme="minorBidi"/>
          <w:color w:val="auto"/>
          <w:kern w:val="2"/>
          <w:sz w:val="20"/>
          <w:szCs w:val="20"/>
        </w:rPr>
      </w:pPr>
      <w:r>
        <w:rPr>
          <w:rStyle w:val="Appelnotedebasdep"/>
        </w:rPr>
        <w:footnoteRef/>
      </w:r>
      <w:r w:rsidRPr="000F65C5">
        <w:rPr>
          <w:lang w:val="fi-FI"/>
        </w:rPr>
        <w:t xml:space="preserve"> </w:t>
      </w:r>
      <w:r w:rsidRPr="000F65C5">
        <w:rPr>
          <w:rFonts w:asciiTheme="minorHAnsi" w:hAnsiTheme="minorHAnsi" w:cstheme="minorBidi"/>
          <w:color w:val="auto"/>
          <w:kern w:val="2"/>
          <w:sz w:val="20"/>
          <w:szCs w:val="20"/>
          <w:lang w:val="fi-FI"/>
        </w:rPr>
        <w:t xml:space="preserve">Sarah Essaid, 2019.  </w:t>
      </w:r>
      <w:r w:rsidRPr="00A45FC2">
        <w:rPr>
          <w:rFonts w:asciiTheme="minorHAnsi" w:hAnsiTheme="minorHAnsi" w:cstheme="minorBidi"/>
          <w:color w:val="auto"/>
          <w:kern w:val="2"/>
          <w:sz w:val="20"/>
          <w:szCs w:val="20"/>
        </w:rPr>
        <w:t>Le « discours » des droits promu par les ONG internationales dans la lutte contre la pauvreté, à l’épreuve du terrain : étude de cas auprès des agriculteurs en transition de la province de Takeo (Cambodge)</w:t>
      </w:r>
      <w:r>
        <w:rPr>
          <w:rFonts w:asciiTheme="minorHAnsi" w:hAnsiTheme="minorHAnsi" w:cstheme="minorBidi"/>
          <w:color w:val="auto"/>
          <w:kern w:val="2"/>
          <w:sz w:val="20"/>
          <w:szCs w:val="20"/>
        </w:rPr>
        <w:t xml:space="preserve">. </w:t>
      </w:r>
      <w:r w:rsidRPr="00A45FC2">
        <w:rPr>
          <w:rFonts w:asciiTheme="minorHAnsi" w:hAnsiTheme="minorHAnsi" w:cstheme="minorBidi"/>
          <w:color w:val="auto"/>
          <w:kern w:val="2"/>
          <w:sz w:val="20"/>
          <w:szCs w:val="20"/>
        </w:rPr>
        <w:t xml:space="preserve"> Mémoire présenté en vue de l’obtention du grade de master en Science de la population et du développement de l’ULB.</w:t>
      </w:r>
    </w:p>
  </w:footnote>
  <w:footnote w:id="3">
    <w:p w14:paraId="7ED574E4" w14:textId="5BBF8DD6" w:rsidR="00FB762A" w:rsidRPr="00FB762A" w:rsidRDefault="00FB762A" w:rsidP="00FB762A">
      <w:pPr>
        <w:autoSpaceDE w:val="0"/>
        <w:autoSpaceDN w:val="0"/>
        <w:adjustRightInd w:val="0"/>
        <w:spacing w:after="0" w:line="240" w:lineRule="auto"/>
      </w:pPr>
      <w:r>
        <w:rPr>
          <w:rStyle w:val="Appelnotedebasdep"/>
        </w:rPr>
        <w:footnoteRef/>
      </w:r>
      <w:r>
        <w:t xml:space="preserve"> </w:t>
      </w:r>
      <w:r w:rsidRPr="00FB762A">
        <w:rPr>
          <w:sz w:val="20"/>
          <w:szCs w:val="20"/>
        </w:rPr>
        <w:t>Faulx et al., 2019 ; Mettre en œuvre des actions de formation et de changement : une relecture contemporaine de Kurt Lewin dans le</w:t>
      </w:r>
      <w:r>
        <w:rPr>
          <w:sz w:val="20"/>
          <w:szCs w:val="20"/>
        </w:rPr>
        <w:t xml:space="preserve"> </w:t>
      </w:r>
      <w:r w:rsidRPr="00FB762A">
        <w:rPr>
          <w:sz w:val="20"/>
          <w:szCs w:val="20"/>
        </w:rPr>
        <w:t xml:space="preserve">contexte de l’agroécologie ; disponible sur : </w:t>
      </w:r>
      <w:hyperlink r:id="rId2" w:history="1">
        <w:r w:rsidRPr="007037A9">
          <w:rPr>
            <w:rStyle w:val="Lienhypertexte"/>
            <w:sz w:val="20"/>
            <w:szCs w:val="20"/>
          </w:rPr>
          <w:t>https://www.cairn.info/revue-les-cahiers-internationaux-de-psychologie-sociale-2019-1-page-25.htm</w:t>
        </w:r>
      </w:hyperlink>
      <w:r>
        <w:rPr>
          <w:sz w:val="20"/>
          <w:szCs w:val="20"/>
        </w:rPr>
        <w:t xml:space="preserve"> </w:t>
      </w:r>
    </w:p>
  </w:footnote>
  <w:footnote w:id="4">
    <w:p w14:paraId="31814BD9" w14:textId="48B643BA" w:rsidR="00E3152D" w:rsidRPr="00E3152D" w:rsidRDefault="00E3152D">
      <w:pPr>
        <w:pStyle w:val="Notedebasdepage"/>
      </w:pPr>
      <w:r>
        <w:rPr>
          <w:rStyle w:val="Appelnotedebasdep"/>
        </w:rPr>
        <w:footnoteRef/>
      </w:r>
      <w:r>
        <w:t xml:space="preserve"> </w:t>
      </w:r>
      <w:r w:rsidRPr="00E3152D">
        <w:t>CCF, 2023. Cohérence des politiques pour s</w:t>
      </w:r>
      <w:r>
        <w:t xml:space="preserve">ystèmes alimentaires durables. Note de référence de la Coalition contre la Faim. </w:t>
      </w:r>
      <w:hyperlink r:id="rId3" w:history="1">
        <w:r w:rsidRPr="007037A9">
          <w:rPr>
            <w:rStyle w:val="Lienhypertexte"/>
          </w:rPr>
          <w:t>https://www.coalitioncontrelafaim.be/ccf/publications/coherence-des-politiques-pour-systemes-alimentaires-durables/</w:t>
        </w:r>
      </w:hyperlink>
      <w:r>
        <w:t xml:space="preserve"> </w:t>
      </w:r>
    </w:p>
  </w:footnote>
  <w:footnote w:id="5">
    <w:p w14:paraId="2D28D3FB" w14:textId="106B6088" w:rsidR="00D77218" w:rsidRPr="00D77218" w:rsidRDefault="00D77218">
      <w:pPr>
        <w:pStyle w:val="Notedebasdepage"/>
      </w:pPr>
      <w:r>
        <w:rPr>
          <w:rStyle w:val="Appelnotedebasdep"/>
        </w:rPr>
        <w:footnoteRef/>
      </w:r>
      <w:r>
        <w:t xml:space="preserve"> </w:t>
      </w:r>
      <w:r w:rsidRPr="00D77218">
        <w:t>Selon la FAO, l’agroécologie est u</w:t>
      </w:r>
      <w:r>
        <w:t xml:space="preserve">ne réponse clé pour guider la transformation durable de nos systèmes alimentaires, et peut contribuer à l’atteinte de 15 des 17 Objectifs de Développement Durable (ODD). </w:t>
      </w:r>
      <w:hyperlink r:id="rId4" w:history="1">
        <w:r w:rsidRPr="00814D53">
          <w:rPr>
            <w:rStyle w:val="Lienhypertexte"/>
          </w:rPr>
          <w:t>https://www.fao.org/agroecology/overview/agroecology-and-the-sustainable-development-goals/fr/</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8D299A"/>
    <w:multiLevelType w:val="hybridMultilevel"/>
    <w:tmpl w:val="600ABBB0"/>
    <w:lvl w:ilvl="0" w:tplc="01ACA076">
      <w:start w:val="1"/>
      <w:numFmt w:val="bullet"/>
      <w:lvlText w:val="-"/>
      <w:lvlJc w:val="left"/>
      <w:pPr>
        <w:ind w:left="720" w:hanging="360"/>
      </w:pPr>
      <w:rPr>
        <w:rFonts w:ascii="Calibri" w:hAnsi="Calibri" w:hint="default"/>
      </w:rPr>
    </w:lvl>
    <w:lvl w:ilvl="1" w:tplc="456CAAC2">
      <w:start w:val="1"/>
      <w:numFmt w:val="bullet"/>
      <w:lvlText w:val="o"/>
      <w:lvlJc w:val="left"/>
      <w:pPr>
        <w:ind w:left="1440" w:hanging="360"/>
      </w:pPr>
      <w:rPr>
        <w:rFonts w:ascii="Courier New" w:hAnsi="Courier New" w:hint="default"/>
      </w:rPr>
    </w:lvl>
    <w:lvl w:ilvl="2" w:tplc="755CD94A">
      <w:start w:val="1"/>
      <w:numFmt w:val="bullet"/>
      <w:lvlText w:val=""/>
      <w:lvlJc w:val="left"/>
      <w:pPr>
        <w:ind w:left="2160" w:hanging="360"/>
      </w:pPr>
      <w:rPr>
        <w:rFonts w:ascii="Wingdings" w:hAnsi="Wingdings" w:hint="default"/>
      </w:rPr>
    </w:lvl>
    <w:lvl w:ilvl="3" w:tplc="7EF61D8E">
      <w:start w:val="1"/>
      <w:numFmt w:val="bullet"/>
      <w:lvlText w:val=""/>
      <w:lvlJc w:val="left"/>
      <w:pPr>
        <w:ind w:left="2880" w:hanging="360"/>
      </w:pPr>
      <w:rPr>
        <w:rFonts w:ascii="Symbol" w:hAnsi="Symbol" w:hint="default"/>
      </w:rPr>
    </w:lvl>
    <w:lvl w:ilvl="4" w:tplc="1ABAC9DC">
      <w:start w:val="1"/>
      <w:numFmt w:val="bullet"/>
      <w:lvlText w:val="o"/>
      <w:lvlJc w:val="left"/>
      <w:pPr>
        <w:ind w:left="3600" w:hanging="360"/>
      </w:pPr>
      <w:rPr>
        <w:rFonts w:ascii="Courier New" w:hAnsi="Courier New" w:hint="default"/>
      </w:rPr>
    </w:lvl>
    <w:lvl w:ilvl="5" w:tplc="985A46F0">
      <w:start w:val="1"/>
      <w:numFmt w:val="bullet"/>
      <w:lvlText w:val=""/>
      <w:lvlJc w:val="left"/>
      <w:pPr>
        <w:ind w:left="4320" w:hanging="360"/>
      </w:pPr>
      <w:rPr>
        <w:rFonts w:ascii="Wingdings" w:hAnsi="Wingdings" w:hint="default"/>
      </w:rPr>
    </w:lvl>
    <w:lvl w:ilvl="6" w:tplc="C21676EE">
      <w:start w:val="1"/>
      <w:numFmt w:val="bullet"/>
      <w:lvlText w:val=""/>
      <w:lvlJc w:val="left"/>
      <w:pPr>
        <w:ind w:left="5040" w:hanging="360"/>
      </w:pPr>
      <w:rPr>
        <w:rFonts w:ascii="Symbol" w:hAnsi="Symbol" w:hint="default"/>
      </w:rPr>
    </w:lvl>
    <w:lvl w:ilvl="7" w:tplc="2C68E03C">
      <w:start w:val="1"/>
      <w:numFmt w:val="bullet"/>
      <w:lvlText w:val="o"/>
      <w:lvlJc w:val="left"/>
      <w:pPr>
        <w:ind w:left="5760" w:hanging="360"/>
      </w:pPr>
      <w:rPr>
        <w:rFonts w:ascii="Courier New" w:hAnsi="Courier New" w:hint="default"/>
      </w:rPr>
    </w:lvl>
    <w:lvl w:ilvl="8" w:tplc="EFA2B930">
      <w:start w:val="1"/>
      <w:numFmt w:val="bullet"/>
      <w:lvlText w:val=""/>
      <w:lvlJc w:val="left"/>
      <w:pPr>
        <w:ind w:left="6480" w:hanging="360"/>
      </w:pPr>
      <w:rPr>
        <w:rFonts w:ascii="Wingdings" w:hAnsi="Wingdings" w:hint="default"/>
      </w:rPr>
    </w:lvl>
  </w:abstractNum>
  <w:abstractNum w:abstractNumId="1" w15:restartNumberingAfterBreak="0">
    <w:nsid w:val="5A6B0E5C"/>
    <w:multiLevelType w:val="hybridMultilevel"/>
    <w:tmpl w:val="1A72E16E"/>
    <w:lvl w:ilvl="0" w:tplc="BA6649FE">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num w:numId="1" w16cid:durableId="1691834747">
    <w:abstractNumId w:val="0"/>
  </w:num>
  <w:num w:numId="2" w16cid:durableId="11759193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DC0"/>
    <w:rsid w:val="00020A22"/>
    <w:rsid w:val="00060152"/>
    <w:rsid w:val="000676ED"/>
    <w:rsid w:val="00076C0D"/>
    <w:rsid w:val="000C1571"/>
    <w:rsid w:val="000F65C5"/>
    <w:rsid w:val="0010305C"/>
    <w:rsid w:val="00103361"/>
    <w:rsid w:val="001648CF"/>
    <w:rsid w:val="001C24EB"/>
    <w:rsid w:val="00236C44"/>
    <w:rsid w:val="00282E46"/>
    <w:rsid w:val="0029274F"/>
    <w:rsid w:val="002B5308"/>
    <w:rsid w:val="002C7E96"/>
    <w:rsid w:val="002D47A1"/>
    <w:rsid w:val="00302D8C"/>
    <w:rsid w:val="003406C1"/>
    <w:rsid w:val="0037008B"/>
    <w:rsid w:val="003934A1"/>
    <w:rsid w:val="003B2F7B"/>
    <w:rsid w:val="0044144B"/>
    <w:rsid w:val="00446A2D"/>
    <w:rsid w:val="00455BB2"/>
    <w:rsid w:val="00463476"/>
    <w:rsid w:val="004C4A63"/>
    <w:rsid w:val="004D2564"/>
    <w:rsid w:val="00567C97"/>
    <w:rsid w:val="005932FC"/>
    <w:rsid w:val="005F4DC0"/>
    <w:rsid w:val="00733899"/>
    <w:rsid w:val="00765A73"/>
    <w:rsid w:val="007918EA"/>
    <w:rsid w:val="007C58D3"/>
    <w:rsid w:val="008002A1"/>
    <w:rsid w:val="00821361"/>
    <w:rsid w:val="0082256B"/>
    <w:rsid w:val="00835297"/>
    <w:rsid w:val="00857BC9"/>
    <w:rsid w:val="009111B0"/>
    <w:rsid w:val="00935562"/>
    <w:rsid w:val="0093686D"/>
    <w:rsid w:val="00990D75"/>
    <w:rsid w:val="009C7544"/>
    <w:rsid w:val="009D614F"/>
    <w:rsid w:val="00A338F1"/>
    <w:rsid w:val="00A45FC2"/>
    <w:rsid w:val="00B115C3"/>
    <w:rsid w:val="00B45949"/>
    <w:rsid w:val="00B62E9E"/>
    <w:rsid w:val="00BC5E92"/>
    <w:rsid w:val="00C42814"/>
    <w:rsid w:val="00C43D1F"/>
    <w:rsid w:val="00C60169"/>
    <w:rsid w:val="00C84C3B"/>
    <w:rsid w:val="00CF45A5"/>
    <w:rsid w:val="00CF6454"/>
    <w:rsid w:val="00D262F3"/>
    <w:rsid w:val="00D32DAD"/>
    <w:rsid w:val="00D3598E"/>
    <w:rsid w:val="00D77218"/>
    <w:rsid w:val="00DA1E54"/>
    <w:rsid w:val="00DD50F8"/>
    <w:rsid w:val="00E13FC4"/>
    <w:rsid w:val="00E3152D"/>
    <w:rsid w:val="00E62D46"/>
    <w:rsid w:val="00E81629"/>
    <w:rsid w:val="00E92EBB"/>
    <w:rsid w:val="00E931E5"/>
    <w:rsid w:val="00F85CC7"/>
    <w:rsid w:val="00FB762A"/>
    <w:rsid w:val="00FE12B8"/>
    <w:rsid w:val="00FE5C40"/>
    <w:rsid w:val="017DCD88"/>
    <w:rsid w:val="03D6B009"/>
    <w:rsid w:val="03E1201D"/>
    <w:rsid w:val="06A967B7"/>
    <w:rsid w:val="07B5D599"/>
    <w:rsid w:val="07DA2B2C"/>
    <w:rsid w:val="081C0A3B"/>
    <w:rsid w:val="096ACB8F"/>
    <w:rsid w:val="0A3D293D"/>
    <w:rsid w:val="0BB72FB7"/>
    <w:rsid w:val="0D818306"/>
    <w:rsid w:val="0E68C142"/>
    <w:rsid w:val="0EBF8970"/>
    <w:rsid w:val="1246F658"/>
    <w:rsid w:val="14A35A8C"/>
    <w:rsid w:val="159052BC"/>
    <w:rsid w:val="1859FA21"/>
    <w:rsid w:val="1ACCCEAB"/>
    <w:rsid w:val="1C5AF484"/>
    <w:rsid w:val="1DBACB14"/>
    <w:rsid w:val="1DBDB514"/>
    <w:rsid w:val="1E28F519"/>
    <w:rsid w:val="1FE9B472"/>
    <w:rsid w:val="2158CEF9"/>
    <w:rsid w:val="222F1850"/>
    <w:rsid w:val="22605C79"/>
    <w:rsid w:val="235F98C7"/>
    <w:rsid w:val="2436DEC3"/>
    <w:rsid w:val="24906FBB"/>
    <w:rsid w:val="24D65486"/>
    <w:rsid w:val="25D182F6"/>
    <w:rsid w:val="2616EB5C"/>
    <w:rsid w:val="2775F1D9"/>
    <w:rsid w:val="278684AD"/>
    <w:rsid w:val="2CA36F26"/>
    <w:rsid w:val="2EAD69BF"/>
    <w:rsid w:val="2F11EC97"/>
    <w:rsid w:val="2FE84FD8"/>
    <w:rsid w:val="30A1324E"/>
    <w:rsid w:val="3176E049"/>
    <w:rsid w:val="32498D59"/>
    <w:rsid w:val="33D6D2E3"/>
    <w:rsid w:val="33E55DBA"/>
    <w:rsid w:val="36879B9C"/>
    <w:rsid w:val="370537E0"/>
    <w:rsid w:val="372CE4BA"/>
    <w:rsid w:val="38248BFC"/>
    <w:rsid w:val="3A897FAE"/>
    <w:rsid w:val="3B485799"/>
    <w:rsid w:val="3C799A24"/>
    <w:rsid w:val="3D4CA225"/>
    <w:rsid w:val="3DDE16D8"/>
    <w:rsid w:val="3E286BDA"/>
    <w:rsid w:val="3EE8C290"/>
    <w:rsid w:val="3FB8D210"/>
    <w:rsid w:val="42679EA9"/>
    <w:rsid w:val="440AD01C"/>
    <w:rsid w:val="452D0C54"/>
    <w:rsid w:val="453ABC93"/>
    <w:rsid w:val="457DDC77"/>
    <w:rsid w:val="4626F6A7"/>
    <w:rsid w:val="467F105D"/>
    <w:rsid w:val="47E3137C"/>
    <w:rsid w:val="487473F5"/>
    <w:rsid w:val="4B0F7096"/>
    <w:rsid w:val="4B9FAA91"/>
    <w:rsid w:val="4D744480"/>
    <w:rsid w:val="4EDC5E0B"/>
    <w:rsid w:val="5074D314"/>
    <w:rsid w:val="50E64830"/>
    <w:rsid w:val="524B093F"/>
    <w:rsid w:val="557737E4"/>
    <w:rsid w:val="559A7737"/>
    <w:rsid w:val="55A401BA"/>
    <w:rsid w:val="55DFF83F"/>
    <w:rsid w:val="5737DF58"/>
    <w:rsid w:val="58D3DB9A"/>
    <w:rsid w:val="58DBA27C"/>
    <w:rsid w:val="59B88EC5"/>
    <w:rsid w:val="5A3D4152"/>
    <w:rsid w:val="60F69920"/>
    <w:rsid w:val="650A5134"/>
    <w:rsid w:val="6651A230"/>
    <w:rsid w:val="675DE36B"/>
    <w:rsid w:val="67ADAF15"/>
    <w:rsid w:val="6851D834"/>
    <w:rsid w:val="68F9B3CC"/>
    <w:rsid w:val="69DDC257"/>
    <w:rsid w:val="6A5FFCC7"/>
    <w:rsid w:val="6AF9551E"/>
    <w:rsid w:val="6AF9B2DB"/>
    <w:rsid w:val="6C2DEDFA"/>
    <w:rsid w:val="6CBCCC57"/>
    <w:rsid w:val="6CD3F59E"/>
    <w:rsid w:val="6E08F486"/>
    <w:rsid w:val="71AB8329"/>
    <w:rsid w:val="733DFF0C"/>
    <w:rsid w:val="735142D7"/>
    <w:rsid w:val="752A9A21"/>
    <w:rsid w:val="76A77320"/>
    <w:rsid w:val="772BF9E8"/>
    <w:rsid w:val="777A212B"/>
    <w:rsid w:val="780BAF90"/>
    <w:rsid w:val="79214446"/>
    <w:rsid w:val="7A3C99CB"/>
    <w:rsid w:val="7A9567CA"/>
    <w:rsid w:val="7AAF5975"/>
    <w:rsid w:val="7B19F8D3"/>
    <w:rsid w:val="7C57183A"/>
    <w:rsid w:val="7DC89D57"/>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CBF00F"/>
  <w15:docId w15:val="{7643F790-019B-4B3E-8B9B-D984BB94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fr-BE"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A338F1"/>
    <w:pPr>
      <w:ind w:left="720"/>
      <w:contextualSpacing/>
    </w:pPr>
  </w:style>
  <w:style w:type="paragraph" w:styleId="Notedebasdepage">
    <w:name w:val="footnote text"/>
    <w:basedOn w:val="Normal"/>
    <w:link w:val="NotedebasdepageCar"/>
    <w:uiPriority w:val="99"/>
    <w:unhideWhenUsed/>
    <w:rsid w:val="00E92EBB"/>
    <w:pPr>
      <w:spacing w:after="0" w:line="240" w:lineRule="auto"/>
    </w:pPr>
    <w:rPr>
      <w:sz w:val="20"/>
      <w:szCs w:val="20"/>
    </w:rPr>
  </w:style>
  <w:style w:type="character" w:customStyle="1" w:styleId="NotedebasdepageCar">
    <w:name w:val="Note de bas de page Car"/>
    <w:basedOn w:val="Policepardfaut"/>
    <w:link w:val="Notedebasdepage"/>
    <w:uiPriority w:val="99"/>
    <w:rsid w:val="00E92EBB"/>
    <w:rPr>
      <w:sz w:val="20"/>
      <w:szCs w:val="20"/>
    </w:rPr>
  </w:style>
  <w:style w:type="character" w:styleId="Appelnotedebasdep">
    <w:name w:val="footnote reference"/>
    <w:basedOn w:val="Policepardfaut"/>
    <w:uiPriority w:val="99"/>
    <w:semiHidden/>
    <w:unhideWhenUsed/>
    <w:rsid w:val="00E92EBB"/>
    <w:rPr>
      <w:vertAlign w:val="superscript"/>
    </w:rPr>
  </w:style>
  <w:style w:type="character" w:styleId="Lienhypertexte">
    <w:name w:val="Hyperlink"/>
    <w:basedOn w:val="Policepardfaut"/>
    <w:uiPriority w:val="99"/>
    <w:unhideWhenUsed/>
    <w:rsid w:val="00E92EBB"/>
    <w:rPr>
      <w:color w:val="0000FF" w:themeColor="hyperlink"/>
      <w:u w:val="single"/>
    </w:rPr>
  </w:style>
  <w:style w:type="character" w:styleId="Mentionnonrsolue">
    <w:name w:val="Unresolved Mention"/>
    <w:basedOn w:val="Policepardfaut"/>
    <w:uiPriority w:val="99"/>
    <w:semiHidden/>
    <w:unhideWhenUsed/>
    <w:rsid w:val="00E92EBB"/>
    <w:rPr>
      <w:color w:val="605E5C"/>
      <w:shd w:val="clear" w:color="auto" w:fill="E1DFDD"/>
    </w:rPr>
  </w:style>
  <w:style w:type="character" w:styleId="Lienhypertextesuivivisit">
    <w:name w:val="FollowedHyperlink"/>
    <w:basedOn w:val="Policepardfaut"/>
    <w:uiPriority w:val="99"/>
    <w:semiHidden/>
    <w:unhideWhenUsed/>
    <w:rsid w:val="00E92EBB"/>
    <w:rPr>
      <w:color w:val="800080" w:themeColor="followedHyperlink"/>
      <w:u w:val="single"/>
    </w:rPr>
  </w:style>
  <w:style w:type="paragraph" w:customStyle="1" w:styleId="Default">
    <w:name w:val="Default"/>
    <w:rsid w:val="00A45FC2"/>
    <w:pPr>
      <w:autoSpaceDE w:val="0"/>
      <w:autoSpaceDN w:val="0"/>
      <w:adjustRightInd w:val="0"/>
      <w:spacing w:after="0" w:line="240" w:lineRule="auto"/>
    </w:pPr>
    <w:rPr>
      <w:rFonts w:ascii="Times New Roman" w:hAnsi="Times New Roman" w:cs="Times New Roman"/>
      <w:color w:val="000000"/>
      <w:kern w:val="0"/>
      <w:sz w:val="24"/>
      <w:szCs w:val="24"/>
    </w:rPr>
  </w:style>
  <w:style w:type="character" w:styleId="Marquedecommentaire">
    <w:name w:val="annotation reference"/>
    <w:basedOn w:val="Policepardfaut"/>
    <w:uiPriority w:val="99"/>
    <w:semiHidden/>
    <w:unhideWhenUsed/>
    <w:rsid w:val="00E3152D"/>
    <w:rPr>
      <w:sz w:val="16"/>
      <w:szCs w:val="16"/>
    </w:rPr>
  </w:style>
  <w:style w:type="paragraph" w:styleId="Commentaire">
    <w:name w:val="annotation text"/>
    <w:basedOn w:val="Normal"/>
    <w:link w:val="CommentaireCar"/>
    <w:uiPriority w:val="99"/>
    <w:unhideWhenUsed/>
    <w:rsid w:val="00E3152D"/>
    <w:pPr>
      <w:spacing w:line="240" w:lineRule="auto"/>
    </w:pPr>
    <w:rPr>
      <w:sz w:val="20"/>
      <w:szCs w:val="20"/>
    </w:rPr>
  </w:style>
  <w:style w:type="character" w:customStyle="1" w:styleId="CommentaireCar">
    <w:name w:val="Commentaire Car"/>
    <w:basedOn w:val="Policepardfaut"/>
    <w:link w:val="Commentaire"/>
    <w:uiPriority w:val="99"/>
    <w:rsid w:val="00E3152D"/>
    <w:rPr>
      <w:sz w:val="20"/>
      <w:szCs w:val="20"/>
    </w:rPr>
  </w:style>
  <w:style w:type="paragraph" w:styleId="Objetducommentaire">
    <w:name w:val="annotation subject"/>
    <w:basedOn w:val="Commentaire"/>
    <w:next w:val="Commentaire"/>
    <w:link w:val="ObjetducommentaireCar"/>
    <w:uiPriority w:val="99"/>
    <w:semiHidden/>
    <w:unhideWhenUsed/>
    <w:rsid w:val="00E3152D"/>
    <w:rPr>
      <w:b/>
      <w:bCs/>
    </w:rPr>
  </w:style>
  <w:style w:type="character" w:customStyle="1" w:styleId="ObjetducommentaireCar">
    <w:name w:val="Objet du commentaire Car"/>
    <w:basedOn w:val="CommentaireCar"/>
    <w:link w:val="Objetducommentaire"/>
    <w:uiPriority w:val="99"/>
    <w:semiHidden/>
    <w:rsid w:val="00E3152D"/>
    <w:rPr>
      <w:b/>
      <w:bCs/>
      <w:sz w:val="20"/>
      <w:szCs w:val="20"/>
    </w:rPr>
  </w:style>
  <w:style w:type="paragraph" w:styleId="Rvision">
    <w:name w:val="Revision"/>
    <w:hidden/>
    <w:uiPriority w:val="99"/>
    <w:semiHidden/>
    <w:rsid w:val="0093686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footnotes.xml.rels><?xml version="1.0" encoding="UTF-8" standalone="yes"?>
<Relationships xmlns="http://schemas.openxmlformats.org/package/2006/relationships"><Relationship Id="rId3" Type="http://schemas.openxmlformats.org/officeDocument/2006/relationships/hyperlink" Target="https://www.coalitioncontrelafaim.be/ccf/publications/coherence-des-politiques-pour-systemes-alimentaires-durables/" TargetMode="External"/><Relationship Id="rId2" Type="http://schemas.openxmlformats.org/officeDocument/2006/relationships/hyperlink" Target="https://www.cairn.info/revue-les-cahiers-internationaux-de-psychologie-sociale-2019-1-page-25.htm" TargetMode="External"/><Relationship Id="rId1" Type="http://schemas.openxmlformats.org/officeDocument/2006/relationships/hyperlink" Target="https://www.fao.org/fileadmin/templates/cfs/HLPE/reports/HLPE_Report_14_FR.pdf" TargetMode="External"/><Relationship Id="rId4" Type="http://schemas.openxmlformats.org/officeDocument/2006/relationships/hyperlink" Target="https://www.fao.org/agroecology/overview/agroecology-and-the-sustainable-development-goals/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3A2A3415A0A640931F76974E533AA6" ma:contentTypeVersion="17" ma:contentTypeDescription="Crée un document." ma:contentTypeScope="" ma:versionID="9930666e6547b0f93e3d1454e6e060da">
  <xsd:schema xmlns:xsd="http://www.w3.org/2001/XMLSchema" xmlns:xs="http://www.w3.org/2001/XMLSchema" xmlns:p="http://schemas.microsoft.com/office/2006/metadata/properties" xmlns:ns2="b5fd81c9-6e50-407f-b517-83d316fa89b2" xmlns:ns3="125c4cc6-68af-423f-be40-5dd459802ea9" targetNamespace="http://schemas.microsoft.com/office/2006/metadata/properties" ma:root="true" ma:fieldsID="5e9f0c596ed563931e4d3dcfba14fcbd" ns2:_="" ns3:_="">
    <xsd:import namespace="b5fd81c9-6e50-407f-b517-83d316fa89b2"/>
    <xsd:import namespace="125c4cc6-68af-423f-be40-5dd459802e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fd81c9-6e50-407f-b517-83d316fa89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alises d’images" ma:readOnly="false" ma:fieldId="{5cf76f15-5ced-4ddc-b409-7134ff3c332f}" ma:taxonomyMulti="true" ma:sspId="74f7e3e8-f6c1-4d5d-b15a-d2e558dec99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25c4cc6-68af-423f-be40-5dd459802ea9" elementFormDefault="qualified">
    <xsd:import namespace="http://schemas.microsoft.com/office/2006/documentManagement/types"/>
    <xsd:import namespace="http://schemas.microsoft.com/office/infopath/2007/PartnerControls"/>
    <xsd:element name="SharedWithUsers" ma:index="12"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Partagé avec détails" ma:internalName="SharedWithDetails" ma:readOnly="true">
      <xsd:simpleType>
        <xsd:restriction base="dms:Note">
          <xsd:maxLength value="255"/>
        </xsd:restriction>
      </xsd:simpleType>
    </xsd:element>
    <xsd:element name="TaxCatchAll" ma:index="23" nillable="true" ma:displayName="Taxonomy Catch All Column" ma:hidden="true" ma:list="{e17b25cd-6cce-44ec-bc66-759d0963da92}" ma:internalName="TaxCatchAll" ma:showField="CatchAllData" ma:web="125c4cc6-68af-423f-be40-5dd459802e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5fd81c9-6e50-407f-b517-83d316fa89b2">
      <Terms xmlns="http://schemas.microsoft.com/office/infopath/2007/PartnerControls"/>
    </lcf76f155ced4ddcb4097134ff3c332f>
    <TaxCatchAll xmlns="125c4cc6-68af-423f-be40-5dd459802ea9"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034E45-A30B-4969-A558-7FD3E400F7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5fd81c9-6e50-407f-b517-83d316fa89b2"/>
    <ds:schemaRef ds:uri="125c4cc6-68af-423f-be40-5dd459802ea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B5DEB0F-2C7B-40DC-9F83-D85A99ABF798}">
  <ds:schemaRefs>
    <ds:schemaRef ds:uri="http://schemas.microsoft.com/office/2006/metadata/properties"/>
    <ds:schemaRef ds:uri="http://schemas.microsoft.com/office/infopath/2007/PartnerControls"/>
    <ds:schemaRef ds:uri="b5fd81c9-6e50-407f-b517-83d316fa89b2"/>
    <ds:schemaRef ds:uri="125c4cc6-68af-423f-be40-5dd459802ea9"/>
  </ds:schemaRefs>
</ds:datastoreItem>
</file>

<file path=customXml/itemProps3.xml><?xml version="1.0" encoding="utf-8"?>
<ds:datastoreItem xmlns:ds="http://schemas.openxmlformats.org/officeDocument/2006/customXml" ds:itemID="{C41BAE1E-B38F-4C7F-9CBD-9EA171A74ED1}">
  <ds:schemaRefs>
    <ds:schemaRef ds:uri="http://schemas.microsoft.com/sharepoint/v3/contenttype/forms"/>
  </ds:schemaRefs>
</ds:datastoreItem>
</file>

<file path=customXml/itemProps4.xml><?xml version="1.0" encoding="utf-8"?>
<ds:datastoreItem xmlns:ds="http://schemas.openxmlformats.org/officeDocument/2006/customXml" ds:itemID="{B01D2CE4-C463-4977-A97D-E8238D839C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1732</Words>
  <Characters>9528</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Pierre Collière</dc:creator>
  <cp:keywords/>
  <dc:description/>
  <cp:lastModifiedBy>Céline Gurdebeke</cp:lastModifiedBy>
  <cp:revision>7</cp:revision>
  <dcterms:created xsi:type="dcterms:W3CDTF">2023-12-21T11:38:00Z</dcterms:created>
  <dcterms:modified xsi:type="dcterms:W3CDTF">2024-12-17T09:51:00Z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0x0101007A3A2A3415A0A640931F76974E533AA6</vt:lpwstr>
  </property>
  <property fmtid="{D5CDD505-2E9C-101B-9397-08002B2CF9AE}" pid="3" name="MediaServiceImageTags">
    <vt:lpwstr/>
  </property>
</Properties>
</file>